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Lesson Plan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 Subject Code: 203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 Subject: Major in Economics – Economic Survey Techniques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 Professor </w:t>
      </w:r>
      <w:proofErr w:type="spell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Ranbir</w:t>
      </w:r>
      <w:proofErr w:type="spellEnd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 Singh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Jan 19–24 – Introduction to Economic Data; Concept of Data, Information and Statistics.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Jan 26–31 – Data Types: Quantitative and Qualitative; Cross Sectional and Time Series Data.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2–7 – Scales of Measurement: Nominal, Ordinal, Interval and Ratio.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9–14 – Sources of Data: Primary and Secondary Data.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16–21 – Understanding the Nature of Data in CSO, NSSO, Census and Economic Survey.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23–28 – Survey Technique: Concept and Steps involved in conducting a Survey.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1–7 – Holiday Week (No Classes).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8–14 – Methods and Instruments used in collecting data through Survey Research.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15–21 – Types of Survey Research.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22–28 – Types of Questions in a Survey; Structured and Unstructured Questions.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29–Apr 4 – Difficulties and Issues in Survey Research.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5–11 – Data Collection using Questionnaires; Principles of Questionnaire Design.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Apr 12–18 – Qualitative Methods: Ethnography, Unstructured Interviews, </w:t>
      </w: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Participant</w:t>
      </w:r>
      <w:proofErr w:type="gramEnd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 Observation.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lastRenderedPageBreak/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19–23 – Recording of Data after completion of Survey: Manual and Computer Methods; Tabulation and Graphical Presentation of Data.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24–26 – Preliminaries of Computer Applications in Data Organization.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27–28 – Sampling Methods: Probability Sampling – Simple Random Sampling, Systematic Random Sampling.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29 – Multistage Sampling and Cluster Sampling.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Apr 30 – Non-Probability Sampling Methods; Sampling and Non-Sampling Errors; Determination of Sample Size and </w:t>
      </w: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Revision 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Lesson Plan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Subject: Macro Economics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 Subject Code: 201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 Class: B.A. 2nd Semester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 Professor </w:t>
      </w:r>
      <w:proofErr w:type="spell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Ranbir</w:t>
      </w:r>
      <w:proofErr w:type="spellEnd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 Singh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Jan 19 – Jan 24 – Introduction to Macroeconomics: Nature and Scope of Macroeconomics; Difference between Microeconomics and Macroeconomics.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Jan 26 – Jan 31 – Importance of Macroeconomics; Basic Concepts of National Income.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2 – Feb 7 – Measurement of National Income; Limitations of National Income Statistics.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9 – Feb 14 – Circular Flow of Income in Two-Sector Economy.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16 – Feb 21 – Circular Flow of Income in Three-Sector and Four-Sector Economy.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lastRenderedPageBreak/>
        <w:t>Feb 23 – Feb 28 – Say’s Law of Market.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1 – Mar 7 – Holiday Week (No Classes).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8 – Mar 14 – Classical Theory of Income and Employment.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15 – Mar 21 – Keynesian Theory of Income and Employment.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22 – Mar 28 – Principle of Effective Demand.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29 – Apr 4 – Comparison between Classical and Keynesian Theory of Employment.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5 – Apr 11 – Consumption Function: Meaning and Technical Attributes.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12 – Apr 18 – Significance of MPC, APC; Relationship between APC and MPC.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19 – Apr 23 – Keynesian Psychological Law of Consumption and its Implications.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24 – Apr 26 – Short-run and Long-run Consumption Functions.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27 – Apr 28 – Meaning of Capital and Investment; Types of Investment.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29 – Marginal Efficiency of Capital (MEC); Relationship between MEC and MEI.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30 – Factors Affecting Investment; Revision.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lastRenderedPageBreak/>
        <w:t>Lesson Plan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Subject: Indian Financial System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 Subject Code: 403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  Professor </w:t>
      </w:r>
      <w:proofErr w:type="spell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Ranbir</w:t>
      </w:r>
      <w:proofErr w:type="spellEnd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 Singh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Jan 19 – Jan 24 – Introduction to Indian Financial System: Meaning and Evolution of the Indian Financial System.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Jan 26 – Jan 31 – Characteristics and Functions of the Indian Financial System.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2 – Feb 7 – Components of the Indian Financial System.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9 – Feb 14 – Role of the Indian Financial System in Economic Development.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16 – Feb 21 – Financial Instruments (Assets): Meaning and Types.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23 – Feb 28 – Financial Markets: Meaning, Structure and Constituents.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1 – Mar 7 – Holiday Week (No Classes).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8 – Mar 14 – Money Market: Meaning, Features, Instruments and Functions.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15 – Mar 21 – Capital Market: Meaning, Structure and Instruments.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22 – Mar 28 – Recent Developments in Financial Markets.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29 – Apr 4 – Financial Institutions: Meaning and Types.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5 – Apr 11 – Banking Institutions: Commercial Banks and Cooperative Banks.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lastRenderedPageBreak/>
        <w:t>Apr 12 – Apr 18 – Non-Banking Financial Institutions; Organized and Unorganized Financial Institutions.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19 – Apr 23 – Financial Services: Meaning, Nature, Functions and Importance.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24 – Apr 26 – Types of Financial Services: Fund-based and Non-fund-based Services.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27 – Apr 28 – Challenges faced by the Indian Financial Service Sector.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29 – Recent Developments in Financial Service Sector in India.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30 – Revision 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Lesson Plan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Subject: Fundamentals of Banking and Insurance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 Course Code: B23-COM-205</w:t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 Professor </w:t>
      </w:r>
      <w:proofErr w:type="spell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Ranbir</w:t>
      </w:r>
      <w:proofErr w:type="spellEnd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 Singh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Jan 19 – Jan 24 – Introduction to Banking: Concept, Features and Functions of Banking.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Jan 26 – Jan 31 – Importance and Principles of Banking.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2 – Feb 7 – Evolution of Banking in India.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9 – Feb 14 – Classification of Banks.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Feb 16 – Feb 21 – Banking Instruments: Concept, Types and Crossing of </w:t>
      </w:r>
      <w:proofErr w:type="spell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Cheques</w:t>
      </w:r>
      <w:proofErr w:type="spellEnd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Feb 23 – Feb 28 – Lending Functions of a Bank; Types of Advances: Secured and Unsecured Loans.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lastRenderedPageBreak/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1 – Mar 7 – Holiday Week (No Classes).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8 – Mar 14 – Short, Medium and Long Term Loans; Methods of Granting Advances.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15 – Mar 21 – Utility Services of Banks; Remittance through Bank Drafts.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22 – Mar 28 – E-Banking and Internet Banking.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Mar 29 – Apr 4 – Safe Deposit Lockers and Modern Banking Services.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5 – Apr 11 – Insurance: Concept, Need and Principles of Insurance.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12 – Apr 18 – Insurance and Economic Development; Life Insurance: Concept, Features and Importance.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19 – Apr 23 – Types of Life Insurance; Procedure of Taking Life Insurance Policies; Nomination and Assignment.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24 – Apr 26 – General Insurance: Concept, Features, Importance and Types.</w:t>
      </w:r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27 – Apr 28 – Procedure of Taking General Insurance; Overview of Fire Insurance.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Apr 29 – Marine Insurance and Health Insurance.</w:t>
      </w:r>
      <w:proofErr w:type="gramEnd"/>
    </w:p>
    <w:p w:rsidR="00E6571D" w:rsidRPr="00E6571D" w:rsidRDefault="00E6571D" w:rsidP="00E657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  <w:r w:rsidRPr="00E6571D"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  <w:br/>
      </w:r>
    </w:p>
    <w:p w:rsidR="00E6571D" w:rsidRPr="00E6571D" w:rsidRDefault="00E6571D" w:rsidP="00E657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:sz w:val="20"/>
          <w:szCs w:val="20"/>
          <w:lang w:val="en-US"/>
        </w:rPr>
      </w:pPr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 xml:space="preserve">Apr 30 – </w:t>
      </w:r>
      <w:proofErr w:type="gramStart"/>
      <w:r w:rsidRPr="00E6571D">
        <w:rPr>
          <w:rFonts w:ascii="Arial" w:eastAsia="Times New Roman" w:hAnsi="Arial" w:cs="Arial"/>
          <w:color w:val="1D1D1D"/>
          <w:kern w:val="0"/>
          <w:sz w:val="22"/>
          <w:szCs w:val="22"/>
          <w:lang w:val="en-US"/>
        </w:rPr>
        <w:t>Revision .</w:t>
      </w:r>
      <w:proofErr w:type="gramEnd"/>
    </w:p>
    <w:p w:rsidR="009925F9" w:rsidRDefault="009925F9" w:rsidP="00E6571D">
      <w:pPr>
        <w:spacing w:line="240" w:lineRule="auto"/>
      </w:pPr>
    </w:p>
    <w:sectPr w:rsidR="009925F9" w:rsidSect="00C61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71D"/>
    <w:rsid w:val="00513D5D"/>
    <w:rsid w:val="00707088"/>
    <w:rsid w:val="009925F9"/>
    <w:rsid w:val="00C619D9"/>
    <w:rsid w:val="00E65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5041</Characters>
  <Application>Microsoft Office Word</Application>
  <DocSecurity>0</DocSecurity>
  <Lines>42</Lines>
  <Paragraphs>11</Paragraphs>
  <ScaleCrop>false</ScaleCrop>
  <Company>HP Inc.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gc</cp:lastModifiedBy>
  <cp:revision>1</cp:revision>
  <dcterms:created xsi:type="dcterms:W3CDTF">2026-03-12T04:43:00Z</dcterms:created>
  <dcterms:modified xsi:type="dcterms:W3CDTF">2026-03-12T04:44:00Z</dcterms:modified>
</cp:coreProperties>
</file>