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5273" w14:textId="4CF9BEB7" w:rsidR="00F71540" w:rsidRPr="005472DA" w:rsidRDefault="006134F7" w:rsidP="006134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DA">
        <w:rPr>
          <w:rFonts w:ascii="Times New Roman" w:hAnsi="Times New Roman" w:cs="Times New Roman"/>
          <w:b/>
          <w:sz w:val="28"/>
          <w:szCs w:val="28"/>
        </w:rPr>
        <w:t>Lesson Plan 202</w:t>
      </w:r>
      <w:r w:rsidR="00254566">
        <w:rPr>
          <w:rFonts w:ascii="Times New Roman" w:hAnsi="Times New Roman" w:cs="Times New Roman"/>
          <w:b/>
          <w:sz w:val="28"/>
          <w:szCs w:val="28"/>
        </w:rPr>
        <w:t>5</w:t>
      </w:r>
      <w:r w:rsidRPr="005472DA">
        <w:rPr>
          <w:rFonts w:ascii="Times New Roman" w:hAnsi="Times New Roman" w:cs="Times New Roman"/>
          <w:b/>
          <w:sz w:val="28"/>
          <w:szCs w:val="28"/>
        </w:rPr>
        <w:t>-2</w:t>
      </w:r>
      <w:r w:rsidR="00254566">
        <w:rPr>
          <w:rFonts w:ascii="Times New Roman" w:hAnsi="Times New Roman" w:cs="Times New Roman"/>
          <w:b/>
          <w:sz w:val="28"/>
          <w:szCs w:val="28"/>
        </w:rPr>
        <w:t>6</w:t>
      </w:r>
      <w:r w:rsidRPr="005472D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54566">
        <w:rPr>
          <w:rFonts w:ascii="Times New Roman" w:hAnsi="Times New Roman" w:cs="Times New Roman"/>
          <w:b/>
          <w:sz w:val="28"/>
          <w:szCs w:val="28"/>
        </w:rPr>
        <w:t>Even</w:t>
      </w:r>
      <w:r w:rsidRPr="005472DA">
        <w:rPr>
          <w:rFonts w:ascii="Times New Roman" w:hAnsi="Times New Roman" w:cs="Times New Roman"/>
          <w:b/>
          <w:sz w:val="28"/>
          <w:szCs w:val="28"/>
        </w:rPr>
        <w:t xml:space="preserve"> Semester)</w:t>
      </w:r>
    </w:p>
    <w:tbl>
      <w:tblPr>
        <w:tblStyle w:val="TableGrid"/>
        <w:tblW w:w="11340" w:type="dxa"/>
        <w:tblInd w:w="-1062" w:type="dxa"/>
        <w:tblLook w:val="04A0" w:firstRow="1" w:lastRow="0" w:firstColumn="1" w:lastColumn="0" w:noHBand="0" w:noVBand="1"/>
      </w:tblPr>
      <w:tblGrid>
        <w:gridCol w:w="1170"/>
        <w:gridCol w:w="6030"/>
        <w:gridCol w:w="4140"/>
      </w:tblGrid>
      <w:tr w:rsidR="00722B06" w:rsidRPr="005472DA" w14:paraId="4F14B5CF" w14:textId="77777777" w:rsidTr="00722B06">
        <w:tc>
          <w:tcPr>
            <w:tcW w:w="1170" w:type="dxa"/>
          </w:tcPr>
          <w:p w14:paraId="00D0CC84" w14:textId="77777777" w:rsidR="00722B06" w:rsidRPr="005472DA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2DA">
              <w:rPr>
                <w:rFonts w:ascii="Times New Roman" w:hAnsi="Times New Roman" w:cs="Times New Roman"/>
                <w:b/>
                <w:sz w:val="28"/>
                <w:szCs w:val="28"/>
              </w:rPr>
              <w:t>Months</w:t>
            </w:r>
          </w:p>
        </w:tc>
        <w:tc>
          <w:tcPr>
            <w:tcW w:w="6030" w:type="dxa"/>
          </w:tcPr>
          <w:p w14:paraId="6542830C" w14:textId="568CB595" w:rsidR="00722B06" w:rsidRPr="005472DA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Event Management</w:t>
            </w:r>
          </w:p>
        </w:tc>
        <w:tc>
          <w:tcPr>
            <w:tcW w:w="4140" w:type="dxa"/>
          </w:tcPr>
          <w:p w14:paraId="43AA4BD0" w14:textId="2E9D20D6" w:rsidR="00722B06" w:rsidRPr="005472DA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Environmental Studies (VAC)</w:t>
            </w:r>
          </w:p>
        </w:tc>
      </w:tr>
      <w:tr w:rsidR="00722B06" w14:paraId="77425698" w14:textId="77777777" w:rsidTr="00722B06">
        <w:tc>
          <w:tcPr>
            <w:tcW w:w="1170" w:type="dxa"/>
          </w:tcPr>
          <w:p w14:paraId="688FA67B" w14:textId="4BD78AC8" w:rsidR="00722B06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6030" w:type="dxa"/>
          </w:tcPr>
          <w:p w14:paraId="732D5AD4" w14:textId="77777777" w:rsidR="00722B06" w:rsidRPr="00722B06" w:rsidRDefault="00722B06" w:rsidP="00722B06">
            <w:pPr>
              <w:autoSpaceDE w:val="0"/>
              <w:autoSpaceDN w:val="0"/>
              <w:adjustRightInd w:val="0"/>
              <w:ind w:left="11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Event Management: Concept, significance and opportunities; Key components of EM; Five </w:t>
            </w:r>
            <w:proofErr w:type="gramStart"/>
            <w:r w:rsidRPr="00722B06">
              <w:rPr>
                <w:rFonts w:ascii="Times New Roman" w:eastAsia="Times New Roman" w:hAnsi="Times New Roman" w:cs="Times New Roman"/>
                <w:sz w:val="24"/>
                <w:szCs w:val="24"/>
              </w:rPr>
              <w:t>C’s</w:t>
            </w:r>
            <w:proofErr w:type="gramEnd"/>
            <w:r w:rsidRPr="00722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event designing; Types of events, Events Committee; Event as marketing tool; Designing brand strategy; Event co-ordination, visual and electronic communication, event presentation.</w:t>
            </w:r>
          </w:p>
          <w:p w14:paraId="69F2A62E" w14:textId="05BFDFDF" w:rsidR="00722B06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CDE2953" w14:textId="03E13F0D" w:rsidR="00722B06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to environmental studies</w:t>
            </w:r>
          </w:p>
        </w:tc>
      </w:tr>
      <w:tr w:rsidR="00722B06" w14:paraId="310A1A72" w14:textId="77777777" w:rsidTr="00722B06">
        <w:tc>
          <w:tcPr>
            <w:tcW w:w="1170" w:type="dxa"/>
          </w:tcPr>
          <w:p w14:paraId="4700F037" w14:textId="378FD713" w:rsidR="00722B06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6030" w:type="dxa"/>
          </w:tcPr>
          <w:p w14:paraId="0A0C5682" w14:textId="2BFF1105" w:rsidR="00722B06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0D9">
              <w:rPr>
                <w:rFonts w:ascii="Times New Roman" w:hAnsi="Times New Roman"/>
                <w:sz w:val="24"/>
                <w:szCs w:val="24"/>
              </w:rPr>
              <w:t>Event Infrastructure; Target audience and clients., leadership and team management in events; Activities in event management: Pre-event, during-event and post-event activities; Event management process; Budgeting in event management; Role of sponsors; Negotiating contracts with event organizers; Event risk management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A50D9">
              <w:rPr>
                <w:rFonts w:ascii="Times New Roman" w:hAnsi="Times New Roman"/>
                <w:sz w:val="24"/>
                <w:szCs w:val="24"/>
              </w:rPr>
              <w:t>Promotion in events: Media sources, direct marketing, sales promotions, audience interaction, public relations, Me</w:t>
            </w:r>
            <w:r>
              <w:rPr>
                <w:rFonts w:ascii="Times New Roman" w:hAnsi="Times New Roman"/>
                <w:sz w:val="24"/>
                <w:szCs w:val="24"/>
              </w:rPr>
              <w:t>rchandising, in-venue publicity</w:t>
            </w:r>
          </w:p>
        </w:tc>
        <w:tc>
          <w:tcPr>
            <w:tcW w:w="4140" w:type="dxa"/>
          </w:tcPr>
          <w:p w14:paraId="165F7B9E" w14:textId="784B8100" w:rsidR="00722B06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Ecosystems: Definition, Structure, Functions, food chain food web</w:t>
            </w:r>
          </w:p>
        </w:tc>
      </w:tr>
      <w:tr w:rsidR="00722B06" w14:paraId="060BE3A7" w14:textId="77777777" w:rsidTr="00722B06">
        <w:tc>
          <w:tcPr>
            <w:tcW w:w="1170" w:type="dxa"/>
          </w:tcPr>
          <w:p w14:paraId="6BA55377" w14:textId="66EEF168" w:rsidR="00722B06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6030" w:type="dxa"/>
          </w:tcPr>
          <w:p w14:paraId="407FE415" w14:textId="360C9C12" w:rsidR="00722B06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0D9">
              <w:rPr>
                <w:rFonts w:ascii="Times New Roman" w:hAnsi="Times New Roman"/>
                <w:sz w:val="24"/>
                <w:szCs w:val="24"/>
              </w:rPr>
              <w:t>Concept of market in events: Revenue generating and non-revenue generating customers; Segmentation and targeting of market events: Segmentation, targeting, positioning; Product in events: Benefit levels, event hierarchy, variations of events, categories of events and their characteristics; Branding in events; Reach: Interaction matrix.</w:t>
            </w:r>
          </w:p>
        </w:tc>
        <w:tc>
          <w:tcPr>
            <w:tcW w:w="4140" w:type="dxa"/>
          </w:tcPr>
          <w:p w14:paraId="055DCA2E" w14:textId="6CA2F6B0" w:rsidR="00722B06" w:rsidRDefault="00722B06" w:rsidP="00BF0A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Natural Resources: Land degradation and erosion. Biodiversity and conservation.</w:t>
            </w:r>
          </w:p>
        </w:tc>
      </w:tr>
      <w:tr w:rsidR="00722B06" w14:paraId="6EDF60C2" w14:textId="77777777" w:rsidTr="00722B06">
        <w:tc>
          <w:tcPr>
            <w:tcW w:w="1170" w:type="dxa"/>
          </w:tcPr>
          <w:p w14:paraId="112943E1" w14:textId="28D14FA1" w:rsidR="00722B06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6030" w:type="dxa"/>
          </w:tcPr>
          <w:p w14:paraId="4CD2DC97" w14:textId="6324DFD7" w:rsidR="00722B06" w:rsidRPr="002A4FC6" w:rsidRDefault="00722B06" w:rsidP="002545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0D9">
              <w:rPr>
                <w:rFonts w:ascii="Times New Roman" w:hAnsi="Times New Roman"/>
                <w:sz w:val="24"/>
                <w:szCs w:val="24"/>
              </w:rPr>
              <w:t xml:space="preserve">Event property, retaining event property; Repositioning of events; Evaluation of event performance: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Concept, </w:t>
            </w:r>
            <w:r w:rsidRPr="00FA50D9">
              <w:rPr>
                <w:rFonts w:ascii="Times New Roman" w:hAnsi="Times New Roman"/>
                <w:sz w:val="24"/>
                <w:szCs w:val="24"/>
              </w:rPr>
              <w:t>types- formative evaluation, objective evaluation, summative evaluation; Evaluation process, critical evaluation points from event organizers and clients’ point of view.</w:t>
            </w:r>
          </w:p>
        </w:tc>
        <w:tc>
          <w:tcPr>
            <w:tcW w:w="4140" w:type="dxa"/>
          </w:tcPr>
          <w:p w14:paraId="249FDC5A" w14:textId="77777777" w:rsidR="00722B06" w:rsidRPr="00722B06" w:rsidRDefault="00722B06" w:rsidP="00722B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B06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Pollution and Environmental Policies &amp;Practices.</w:t>
            </w:r>
          </w:p>
          <w:p w14:paraId="50656C17" w14:textId="23D535CC" w:rsidR="00722B06" w:rsidRDefault="00722B06" w:rsidP="00722B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Human Communities </w:t>
            </w:r>
            <w:proofErr w:type="gramStart"/>
            <w:r w:rsidRPr="00722B06">
              <w:rPr>
                <w:rFonts w:ascii="Times New Roman" w:eastAsia="Times New Roman" w:hAnsi="Times New Roman" w:cs="Times New Roman"/>
                <w:sz w:val="24"/>
                <w:szCs w:val="24"/>
              </w:rPr>
              <w:t>and  the</w:t>
            </w:r>
            <w:proofErr w:type="gramEnd"/>
            <w:r w:rsidRPr="00722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Environment</w:t>
            </w:r>
          </w:p>
        </w:tc>
      </w:tr>
      <w:tr w:rsidR="00722B06" w14:paraId="345B2A79" w14:textId="77777777" w:rsidTr="00722B06">
        <w:tc>
          <w:tcPr>
            <w:tcW w:w="1170" w:type="dxa"/>
          </w:tcPr>
          <w:p w14:paraId="0A8FDBAE" w14:textId="5EAC2969" w:rsidR="00722B06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6030" w:type="dxa"/>
          </w:tcPr>
          <w:p w14:paraId="4BEB5696" w14:textId="77777777" w:rsidR="00722B06" w:rsidRDefault="00722B06" w:rsidP="002A4F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&amp; Test.</w:t>
            </w:r>
          </w:p>
        </w:tc>
        <w:tc>
          <w:tcPr>
            <w:tcW w:w="4140" w:type="dxa"/>
          </w:tcPr>
          <w:p w14:paraId="1E65910F" w14:textId="77777777" w:rsidR="00722B06" w:rsidRDefault="00722B06" w:rsidP="00613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&amp; Test</w:t>
            </w:r>
          </w:p>
        </w:tc>
      </w:tr>
    </w:tbl>
    <w:p w14:paraId="28792BD1" w14:textId="77777777" w:rsidR="006134F7" w:rsidRDefault="006134F7" w:rsidP="00613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F744A" w14:textId="77777777" w:rsidR="00722B06" w:rsidRDefault="00722B06" w:rsidP="00722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C54151" w14:textId="6AD98A0D" w:rsidR="00845F9B" w:rsidRPr="005472DA" w:rsidRDefault="00722B06" w:rsidP="00722B0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EA7034" w:rsidRPr="005472DA">
        <w:rPr>
          <w:rFonts w:ascii="Times New Roman" w:hAnsi="Times New Roman" w:cs="Times New Roman"/>
          <w:b/>
          <w:sz w:val="28"/>
          <w:szCs w:val="28"/>
        </w:rPr>
        <w:t>Lesson Plan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A7034" w:rsidRPr="005472DA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A7034" w:rsidRPr="005472D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45F9B" w:rsidRPr="005472DA">
        <w:rPr>
          <w:rFonts w:ascii="Times New Roman" w:hAnsi="Times New Roman" w:cs="Times New Roman"/>
          <w:b/>
          <w:sz w:val="28"/>
          <w:szCs w:val="28"/>
        </w:rPr>
        <w:t>Even Semester)</w:t>
      </w:r>
    </w:p>
    <w:tbl>
      <w:tblPr>
        <w:tblStyle w:val="TableGrid"/>
        <w:tblW w:w="11430" w:type="dxa"/>
        <w:tblInd w:w="-1062" w:type="dxa"/>
        <w:tblLook w:val="04A0" w:firstRow="1" w:lastRow="0" w:firstColumn="1" w:lastColumn="0" w:noHBand="0" w:noVBand="1"/>
      </w:tblPr>
      <w:tblGrid>
        <w:gridCol w:w="1083"/>
        <w:gridCol w:w="2009"/>
        <w:gridCol w:w="4213"/>
        <w:gridCol w:w="2083"/>
        <w:gridCol w:w="2042"/>
      </w:tblGrid>
      <w:tr w:rsidR="00722B06" w:rsidRPr="005472DA" w14:paraId="05A66F82" w14:textId="77777777" w:rsidTr="00722B06">
        <w:tc>
          <w:tcPr>
            <w:tcW w:w="900" w:type="dxa"/>
          </w:tcPr>
          <w:p w14:paraId="6967AC3F" w14:textId="77777777" w:rsidR="00845F9B" w:rsidRPr="005472DA" w:rsidRDefault="00845F9B" w:rsidP="00845F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2DA"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2029" w:type="dxa"/>
          </w:tcPr>
          <w:p w14:paraId="4947D556" w14:textId="77777777" w:rsidR="00845F9B" w:rsidRPr="005472DA" w:rsidRDefault="00845F9B" w:rsidP="00845F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2DA">
              <w:rPr>
                <w:rFonts w:ascii="Times New Roman" w:hAnsi="Times New Roman" w:cs="Times New Roman"/>
                <w:b/>
                <w:sz w:val="28"/>
                <w:szCs w:val="28"/>
              </w:rPr>
              <w:t>Company Law</w:t>
            </w:r>
          </w:p>
        </w:tc>
        <w:tc>
          <w:tcPr>
            <w:tcW w:w="4340" w:type="dxa"/>
          </w:tcPr>
          <w:p w14:paraId="63D02606" w14:textId="2B470303" w:rsidR="00845F9B" w:rsidRPr="005472DA" w:rsidRDefault="00254566" w:rsidP="00AD7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Corporate Account</w:t>
            </w:r>
          </w:p>
        </w:tc>
        <w:tc>
          <w:tcPr>
            <w:tcW w:w="2114" w:type="dxa"/>
          </w:tcPr>
          <w:p w14:paraId="434F8F98" w14:textId="77777777" w:rsidR="00845F9B" w:rsidRPr="005472DA" w:rsidRDefault="00845F9B" w:rsidP="00845F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2DA">
              <w:rPr>
                <w:rFonts w:ascii="Times New Roman" w:hAnsi="Times New Roman" w:cs="Times New Roman"/>
                <w:b/>
                <w:sz w:val="28"/>
                <w:szCs w:val="28"/>
              </w:rPr>
              <w:t>Income Tax</w:t>
            </w:r>
          </w:p>
        </w:tc>
        <w:tc>
          <w:tcPr>
            <w:tcW w:w="2047" w:type="dxa"/>
          </w:tcPr>
          <w:p w14:paraId="5E4484C5" w14:textId="77777777" w:rsidR="00AD70D8" w:rsidRPr="005472DA" w:rsidRDefault="00AD70D8" w:rsidP="00AD7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2DA">
              <w:rPr>
                <w:rFonts w:ascii="Times New Roman" w:hAnsi="Times New Roman" w:cs="Times New Roman"/>
                <w:b/>
                <w:sz w:val="28"/>
                <w:szCs w:val="28"/>
              </w:rPr>
              <w:t>Fundamentals of</w:t>
            </w:r>
            <w:r w:rsidR="00845F9B" w:rsidRPr="00547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Banking</w:t>
            </w:r>
            <w:r w:rsidRPr="00547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&amp; Insurance</w:t>
            </w:r>
          </w:p>
        </w:tc>
      </w:tr>
      <w:tr w:rsidR="00722B06" w14:paraId="5D432752" w14:textId="77777777" w:rsidTr="00722B06">
        <w:tc>
          <w:tcPr>
            <w:tcW w:w="900" w:type="dxa"/>
          </w:tcPr>
          <w:p w14:paraId="5D107DF4" w14:textId="77777777" w:rsidR="00845F9B" w:rsidRDefault="00845F9B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2029" w:type="dxa"/>
          </w:tcPr>
          <w:p w14:paraId="5CBCEE87" w14:textId="45A9651E" w:rsidR="00845F9B" w:rsidRDefault="0025456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of Company, Incorporation of company.</w:t>
            </w:r>
          </w:p>
        </w:tc>
        <w:tc>
          <w:tcPr>
            <w:tcW w:w="4340" w:type="dxa"/>
          </w:tcPr>
          <w:p w14:paraId="571798AB" w14:textId="5D2687D8" w:rsidR="00845F9B" w:rsidRDefault="0025456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Valuation of shares: Concept, need, factors affecting and methods of share valuation; Valuation of goodwill: Concept, factors affecting and methods of Goodwill valuation.</w:t>
            </w:r>
          </w:p>
        </w:tc>
        <w:tc>
          <w:tcPr>
            <w:tcW w:w="2114" w:type="dxa"/>
          </w:tcPr>
          <w:p w14:paraId="3F48B9FA" w14:textId="77777777" w:rsidR="00845F9B" w:rsidRDefault="00CB59A5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Deductions, Rebate, Assessment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Individuals, </w:t>
            </w:r>
          </w:p>
        </w:tc>
        <w:tc>
          <w:tcPr>
            <w:tcW w:w="2047" w:type="dxa"/>
          </w:tcPr>
          <w:p w14:paraId="64138E33" w14:textId="6E7F2422" w:rsidR="00845F9B" w:rsidRDefault="0025456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concept,  Evolution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22B06" w14:paraId="6EDCECE8" w14:textId="77777777" w:rsidTr="00722B06">
        <w:tc>
          <w:tcPr>
            <w:tcW w:w="900" w:type="dxa"/>
          </w:tcPr>
          <w:p w14:paraId="74486B19" w14:textId="77777777" w:rsidR="00845F9B" w:rsidRDefault="00845F9B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2029" w:type="dxa"/>
          </w:tcPr>
          <w:p w14:paraId="19419705" w14:textId="0463EB74" w:rsidR="00845F9B" w:rsidRDefault="0025456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Memorandum of Association, Article of association, Prospects. Revision</w:t>
            </w:r>
          </w:p>
        </w:tc>
        <w:tc>
          <w:tcPr>
            <w:tcW w:w="4340" w:type="dxa"/>
          </w:tcPr>
          <w:p w14:paraId="044B54E4" w14:textId="03D46EF4" w:rsidR="00845F9B" w:rsidRDefault="0025456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Debentures: Concept, features and types; Provisions related to issue of debentures, utilization of debenture capital, role and status of debenture holders in company, purchase of own debentures; Valuation of debentures: Concept, need, factors affecting and methods of debenture valuation.</w:t>
            </w:r>
          </w:p>
        </w:tc>
        <w:tc>
          <w:tcPr>
            <w:tcW w:w="2114" w:type="dxa"/>
          </w:tcPr>
          <w:p w14:paraId="59045989" w14:textId="77777777" w:rsidR="00845F9B" w:rsidRDefault="00CB59A5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of HUF, Firm, Income Tax authorities.</w:t>
            </w:r>
          </w:p>
        </w:tc>
        <w:tc>
          <w:tcPr>
            <w:tcW w:w="2047" w:type="dxa"/>
          </w:tcPr>
          <w:p w14:paraId="16EBCB24" w14:textId="1E9A2B95" w:rsidR="00845F9B" w:rsidRDefault="00AD70D8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Banks.</w:t>
            </w:r>
          </w:p>
        </w:tc>
      </w:tr>
      <w:tr w:rsidR="00722B06" w14:paraId="20083881" w14:textId="77777777" w:rsidTr="00722B06">
        <w:tc>
          <w:tcPr>
            <w:tcW w:w="900" w:type="dxa"/>
          </w:tcPr>
          <w:p w14:paraId="2C796F67" w14:textId="77777777" w:rsidR="00845F9B" w:rsidRDefault="00845F9B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2029" w:type="dxa"/>
          </w:tcPr>
          <w:p w14:paraId="49B38448" w14:textId="404E3F5E" w:rsidR="00845F9B" w:rsidRDefault="0025456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 Capital, Company Secretary.</w:t>
            </w:r>
          </w:p>
        </w:tc>
        <w:tc>
          <w:tcPr>
            <w:tcW w:w="4340" w:type="dxa"/>
          </w:tcPr>
          <w:p w14:paraId="06E68B09" w14:textId="5CE3CE35" w:rsidR="00845F9B" w:rsidRDefault="0025456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Concept and accounting treatment of banking companies; Concept and accounting treatment of insurance companies.</w:t>
            </w:r>
          </w:p>
        </w:tc>
        <w:tc>
          <w:tcPr>
            <w:tcW w:w="2114" w:type="dxa"/>
          </w:tcPr>
          <w:p w14:paraId="557099AE" w14:textId="3B360B9E" w:rsidR="00CB59A5" w:rsidRDefault="00CB59A5" w:rsidP="00CB59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 of Income, TDS/</w:t>
            </w:r>
            <w:r w:rsidR="008A0878">
              <w:rPr>
                <w:rFonts w:ascii="Times New Roman" w:hAnsi="Times New Roman" w:cs="Times New Roman"/>
                <w:sz w:val="24"/>
                <w:szCs w:val="24"/>
              </w:rPr>
              <w:t xml:space="preserve">TCS, Advance </w:t>
            </w:r>
            <w:proofErr w:type="gramStart"/>
            <w:r w:rsidR="008A0878">
              <w:rPr>
                <w:rFonts w:ascii="Times New Roman" w:hAnsi="Times New Roman" w:cs="Times New Roman"/>
                <w:sz w:val="24"/>
                <w:szCs w:val="24"/>
              </w:rPr>
              <w:t>Tax,  Recovery</w:t>
            </w:r>
            <w:proofErr w:type="gramEnd"/>
            <w:r w:rsidR="008A087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refund,  Appeals And R</w:t>
            </w:r>
            <w:r w:rsidR="0025456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vision.</w:t>
            </w:r>
          </w:p>
        </w:tc>
        <w:tc>
          <w:tcPr>
            <w:tcW w:w="2047" w:type="dxa"/>
          </w:tcPr>
          <w:p w14:paraId="5BC49801" w14:textId="77777777" w:rsidR="00845F9B" w:rsidRDefault="005E160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Banking Instruments, Lending Function of Banks.</w:t>
            </w:r>
          </w:p>
        </w:tc>
      </w:tr>
      <w:tr w:rsidR="00722B06" w14:paraId="0CEE1626" w14:textId="77777777" w:rsidTr="00722B06">
        <w:tc>
          <w:tcPr>
            <w:tcW w:w="900" w:type="dxa"/>
          </w:tcPr>
          <w:p w14:paraId="766C740B" w14:textId="77777777" w:rsidR="00845F9B" w:rsidRDefault="00845F9B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2029" w:type="dxa"/>
          </w:tcPr>
          <w:p w14:paraId="39ACB944" w14:textId="77D1E4D6" w:rsidR="00845F9B" w:rsidRDefault="0025456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Dividends, Winding up of Company,</w:t>
            </w:r>
          </w:p>
        </w:tc>
        <w:tc>
          <w:tcPr>
            <w:tcW w:w="4340" w:type="dxa"/>
          </w:tcPr>
          <w:p w14:paraId="324C3581" w14:textId="6487E1D4" w:rsidR="00845F9B" w:rsidRDefault="0025456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Accounts of holding companies: Preparation of consolidated balance sheet with one subsidiary company, relevant provisions of Accounting Standard 21; Liquidation of companies: Concept, need, types, process and accounting treatment.</w:t>
            </w:r>
          </w:p>
        </w:tc>
        <w:tc>
          <w:tcPr>
            <w:tcW w:w="2114" w:type="dxa"/>
          </w:tcPr>
          <w:p w14:paraId="30AD5A80" w14:textId="77777777" w:rsidR="00845F9B" w:rsidRDefault="008A0878" w:rsidP="00CB59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Penalties, Offences a</w:t>
            </w:r>
            <w:r w:rsidR="00CB59A5">
              <w:rPr>
                <w:rFonts w:ascii="Times New Roman" w:hAnsi="Times New Roman" w:cs="Times New Roman"/>
                <w:sz w:val="24"/>
                <w:szCs w:val="24"/>
              </w:rPr>
              <w:t>nd Prosecution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Revision and Test.</w:t>
            </w:r>
          </w:p>
        </w:tc>
        <w:tc>
          <w:tcPr>
            <w:tcW w:w="2047" w:type="dxa"/>
          </w:tcPr>
          <w:p w14:paraId="0575A2AA" w14:textId="0B9985FF" w:rsidR="00845F9B" w:rsidRDefault="005E160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Insurance</w:t>
            </w:r>
            <w:r w:rsidR="002545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4566">
              <w:rPr>
                <w:rFonts w:ascii="Times New Roman" w:hAnsi="Times New Roman" w:cs="Times New Roman"/>
                <w:sz w:val="24"/>
                <w:szCs w:val="24"/>
              </w:rPr>
              <w:t>General Insurance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B06" w14:paraId="17B25424" w14:textId="77777777" w:rsidTr="00722B06">
        <w:tc>
          <w:tcPr>
            <w:tcW w:w="900" w:type="dxa"/>
          </w:tcPr>
          <w:p w14:paraId="24D460BC" w14:textId="77777777" w:rsidR="00CB59A5" w:rsidRDefault="00CB59A5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2029" w:type="dxa"/>
          </w:tcPr>
          <w:p w14:paraId="028FD73B" w14:textId="4A44D4EF" w:rsidR="00CB59A5" w:rsidRDefault="005E160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and Test.</w:t>
            </w:r>
          </w:p>
        </w:tc>
        <w:tc>
          <w:tcPr>
            <w:tcW w:w="4340" w:type="dxa"/>
          </w:tcPr>
          <w:p w14:paraId="6340981F" w14:textId="77777777" w:rsidR="00CB59A5" w:rsidRDefault="00DC1FAD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&amp;Test.</w:t>
            </w:r>
          </w:p>
        </w:tc>
        <w:tc>
          <w:tcPr>
            <w:tcW w:w="2114" w:type="dxa"/>
          </w:tcPr>
          <w:p w14:paraId="4018C51D" w14:textId="1CCA5A4B" w:rsidR="00CB59A5" w:rsidRDefault="0025456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and Test.</w:t>
            </w:r>
          </w:p>
        </w:tc>
        <w:tc>
          <w:tcPr>
            <w:tcW w:w="2047" w:type="dxa"/>
          </w:tcPr>
          <w:p w14:paraId="114ED0F0" w14:textId="77777777" w:rsidR="00CB59A5" w:rsidRDefault="005E1606" w:rsidP="00845F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525423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Insurance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Revision &amp; Test</w:t>
            </w:r>
          </w:p>
        </w:tc>
      </w:tr>
    </w:tbl>
    <w:p w14:paraId="2F52B176" w14:textId="77777777" w:rsidR="00845F9B" w:rsidRDefault="00845F9B" w:rsidP="0084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EC12E" w14:textId="77777777" w:rsidR="00845F9B" w:rsidRDefault="00845F9B" w:rsidP="0084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5B5DD" w14:textId="77777777" w:rsidR="00845F9B" w:rsidRDefault="00845F9B" w:rsidP="00613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EA2F3" w14:textId="77777777" w:rsidR="00845F9B" w:rsidRDefault="00845F9B" w:rsidP="00613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DF893" w14:textId="77777777" w:rsidR="00845F9B" w:rsidRDefault="00845F9B" w:rsidP="00613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6175D" w14:textId="77777777" w:rsidR="00845F9B" w:rsidRDefault="00845F9B" w:rsidP="00613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B1D36" w14:textId="77777777" w:rsidR="00845F9B" w:rsidRDefault="00845F9B" w:rsidP="00613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C4C9B" w14:textId="77777777" w:rsidR="00845F9B" w:rsidRPr="006134F7" w:rsidRDefault="00845F9B" w:rsidP="00613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5F9B" w:rsidRPr="006134F7" w:rsidSect="00F71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4F7"/>
    <w:rsid w:val="00254566"/>
    <w:rsid w:val="002A4FC6"/>
    <w:rsid w:val="005472DA"/>
    <w:rsid w:val="005E1606"/>
    <w:rsid w:val="006134F7"/>
    <w:rsid w:val="00722B06"/>
    <w:rsid w:val="0082548A"/>
    <w:rsid w:val="00845F9B"/>
    <w:rsid w:val="008A0878"/>
    <w:rsid w:val="00AD70D8"/>
    <w:rsid w:val="00BF0A58"/>
    <w:rsid w:val="00CB59A5"/>
    <w:rsid w:val="00CD53F4"/>
    <w:rsid w:val="00DC1FAD"/>
    <w:rsid w:val="00EA7034"/>
    <w:rsid w:val="00F71540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EEA7"/>
  <w15:docId w15:val="{F1CFF759-9B45-43A3-94A3-0CEC6AAD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4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Naresh</cp:lastModifiedBy>
  <cp:revision>2</cp:revision>
  <dcterms:created xsi:type="dcterms:W3CDTF">2026-03-24T09:05:00Z</dcterms:created>
  <dcterms:modified xsi:type="dcterms:W3CDTF">2026-03-24T09:05:00Z</dcterms:modified>
</cp:coreProperties>
</file>